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8818" w14:textId="4DA07B9D" w:rsidR="004877F0" w:rsidRPr="004E4C02" w:rsidRDefault="001B5512" w:rsidP="004877F0">
      <w:pPr>
        <w:pStyle w:val="Titre"/>
        <w:jc w:val="center"/>
        <w:rPr>
          <w:rFonts w:ascii="Century Gothic" w:hAnsi="Century Gothic"/>
          <w:sz w:val="36"/>
        </w:rPr>
      </w:pPr>
      <w:r w:rsidRPr="004E4C02">
        <w:rPr>
          <w:rFonts w:ascii="Century Gothic" w:hAnsi="Century Gothic"/>
          <w:sz w:val="36"/>
        </w:rPr>
        <w:t xml:space="preserve">Webinaire Plan ESAT _ Principales questions posées </w:t>
      </w:r>
    </w:p>
    <w:p w14:paraId="646BB564" w14:textId="77777777" w:rsidR="004877F0" w:rsidRDefault="004877F0" w:rsidP="004877F0"/>
    <w:p w14:paraId="131AB1C5" w14:textId="33A62E24" w:rsidR="004877F0" w:rsidRDefault="004877F0" w:rsidP="000D0880">
      <w:pPr>
        <w:pStyle w:val="Titre1"/>
        <w:numPr>
          <w:ilvl w:val="0"/>
          <w:numId w:val="5"/>
        </w:numPr>
      </w:pPr>
      <w:r w:rsidRPr="004877F0">
        <w:t>A quelle date est prévue la mise en place du FATESAT</w:t>
      </w:r>
    </w:p>
    <w:p w14:paraId="02229063" w14:textId="77777777" w:rsidR="004877F0" w:rsidRPr="004877F0" w:rsidRDefault="004877F0" w:rsidP="004877F0"/>
    <w:p w14:paraId="0309D3D3" w14:textId="77777777" w:rsidR="004877F0" w:rsidRPr="004877F0" w:rsidRDefault="004877F0" w:rsidP="004877F0">
      <w:pPr>
        <w:pStyle w:val="Paragraphedeliste"/>
        <w:numPr>
          <w:ilvl w:val="0"/>
          <w:numId w:val="1"/>
        </w:numPr>
        <w:rPr>
          <w:rFonts w:ascii="Century Gothic" w:hAnsi="Century Gothic"/>
        </w:rPr>
      </w:pPr>
      <w:r w:rsidRPr="004877F0">
        <w:rPr>
          <w:rFonts w:ascii="Century Gothic" w:hAnsi="Century Gothic"/>
        </w:rPr>
        <w:t>Les crédits ont déjà été inscrits dans la loi de finance</w:t>
      </w:r>
      <w:r>
        <w:rPr>
          <w:rFonts w:ascii="Century Gothic" w:hAnsi="Century Gothic"/>
        </w:rPr>
        <w:t xml:space="preserve"> (15 millions) </w:t>
      </w:r>
      <w:r w:rsidRPr="004877F0">
        <w:rPr>
          <w:rFonts w:ascii="Century Gothic" w:hAnsi="Century Gothic"/>
        </w:rPr>
        <w:t xml:space="preserve"> </w:t>
      </w:r>
    </w:p>
    <w:p w14:paraId="2B0FFF6D" w14:textId="77777777" w:rsidR="004877F0" w:rsidRPr="004877F0" w:rsidRDefault="004877F0" w:rsidP="004877F0">
      <w:pPr>
        <w:pStyle w:val="Paragraphedeliste"/>
        <w:numPr>
          <w:ilvl w:val="0"/>
          <w:numId w:val="1"/>
        </w:numPr>
        <w:rPr>
          <w:rFonts w:ascii="Century Gothic" w:hAnsi="Century Gothic"/>
        </w:rPr>
      </w:pPr>
      <w:r w:rsidRPr="004877F0">
        <w:rPr>
          <w:rFonts w:ascii="Century Gothic" w:hAnsi="Century Gothic"/>
          <w:iCs/>
        </w:rPr>
        <w:t xml:space="preserve">Instruction ministérielle complémentaire précisera le contenu du cahier des charges de l’appel à projets </w:t>
      </w:r>
      <w:r w:rsidRPr="004877F0">
        <w:rPr>
          <w:rFonts w:ascii="Century Gothic" w:hAnsi="Century Gothic"/>
          <w:iCs/>
        </w:rPr>
        <w:sym w:font="Wingdings" w:char="F0E0"/>
      </w:r>
      <w:r w:rsidRPr="004877F0">
        <w:rPr>
          <w:rFonts w:ascii="Century Gothic" w:hAnsi="Century Gothic"/>
          <w:iCs/>
        </w:rPr>
        <w:t xml:space="preserve"> nous n’en savons pas encore la date malheureusement </w:t>
      </w:r>
    </w:p>
    <w:p w14:paraId="1FC6C4CC" w14:textId="44B046E2" w:rsidR="004877F0" w:rsidRDefault="000D0880" w:rsidP="00D706B9">
      <w:pPr>
        <w:pStyle w:val="Titre1"/>
        <w:numPr>
          <w:ilvl w:val="0"/>
          <w:numId w:val="5"/>
        </w:numPr>
      </w:pPr>
      <w:r>
        <w:t xml:space="preserve">Concrètement, que donnera la mesure consistant en l’annualisation de l’aide au poste ? </w:t>
      </w:r>
      <w:r w:rsidR="004877F0">
        <w:t xml:space="preserve"> </w:t>
      </w:r>
    </w:p>
    <w:p w14:paraId="4124CFD4" w14:textId="77777777" w:rsidR="00D706B9" w:rsidRDefault="00D706B9" w:rsidP="004877F0">
      <w:pPr>
        <w:rPr>
          <w:rFonts w:ascii="Century Gothic" w:hAnsi="Century Gothic"/>
          <w:iCs/>
        </w:rPr>
      </w:pPr>
    </w:p>
    <w:p w14:paraId="56E83E1E" w14:textId="5274BB90" w:rsidR="004877F0" w:rsidRPr="00D706B9" w:rsidRDefault="00D706B9" w:rsidP="004877F0">
      <w:pPr>
        <w:rPr>
          <w:rFonts w:ascii="Century Gothic" w:hAnsi="Century Gothic"/>
        </w:rPr>
      </w:pPr>
      <w:r w:rsidRPr="00D706B9">
        <w:rPr>
          <w:rFonts w:ascii="Century Gothic" w:hAnsi="Century Gothic"/>
          <w:iCs/>
        </w:rPr>
        <w:t xml:space="preserve">Voici </w:t>
      </w:r>
      <w:r>
        <w:rPr>
          <w:rFonts w:ascii="Century Gothic" w:hAnsi="Century Gothic"/>
        </w:rPr>
        <w:t>un extrait du rapport IGAS de 2019 détaillant l</w:t>
      </w:r>
      <w:r w:rsidR="008354F1">
        <w:rPr>
          <w:rFonts w:ascii="Century Gothic" w:hAnsi="Century Gothic"/>
        </w:rPr>
        <w:t xml:space="preserve">a portée de cette mesure : </w:t>
      </w:r>
      <w:r>
        <w:rPr>
          <w:rFonts w:ascii="Century Gothic" w:hAnsi="Century Gothic"/>
        </w:rPr>
        <w:t xml:space="preserve"> </w:t>
      </w:r>
    </w:p>
    <w:p w14:paraId="26A3DA05" w14:textId="77777777" w:rsidR="004877F0" w:rsidRDefault="004877F0" w:rsidP="004877F0">
      <w:r>
        <w:rPr>
          <w:noProof/>
        </w:rPr>
        <w:drawing>
          <wp:inline distT="0" distB="0" distL="0" distR="0" wp14:anchorId="0032E793" wp14:editId="3BEAB0D1">
            <wp:extent cx="5760720" cy="3496945"/>
            <wp:effectExtent l="19050" t="19050" r="11430" b="273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496945"/>
                    </a:xfrm>
                    <a:prstGeom prst="rect">
                      <a:avLst/>
                    </a:prstGeom>
                    <a:ln>
                      <a:solidFill>
                        <a:schemeClr val="tx2"/>
                      </a:solidFill>
                    </a:ln>
                  </pic:spPr>
                </pic:pic>
              </a:graphicData>
            </a:graphic>
          </wp:inline>
        </w:drawing>
      </w:r>
    </w:p>
    <w:p w14:paraId="76EFB27A" w14:textId="6AF7B8F7" w:rsidR="004877F0" w:rsidRDefault="004877F0" w:rsidP="004877F0">
      <w:pPr>
        <w:rPr>
          <w:rFonts w:ascii="Century Gothic" w:hAnsi="Century Gothic"/>
          <w:i/>
          <w:color w:val="4472C4" w:themeColor="accent1"/>
        </w:rPr>
      </w:pPr>
      <w:r w:rsidRPr="00D706B9">
        <w:rPr>
          <w:rFonts w:ascii="Century Gothic" w:hAnsi="Century Gothic"/>
          <w:i/>
          <w:color w:val="4472C4" w:themeColor="accent1"/>
        </w:rPr>
        <w:t xml:space="preserve">Rapport IGAS, Les Etablissements et Services d’Aide par le Travail, Octobre 2019, p87 </w:t>
      </w:r>
    </w:p>
    <w:p w14:paraId="3C7FD590" w14:textId="3768EA72" w:rsidR="00D706B9" w:rsidRPr="00D706B9" w:rsidRDefault="008354F1" w:rsidP="004877F0">
      <w:pPr>
        <w:rPr>
          <w:rFonts w:ascii="Century Gothic" w:hAnsi="Century Gothic"/>
        </w:rPr>
      </w:pPr>
      <w:r>
        <w:rPr>
          <w:rFonts w:ascii="Century Gothic" w:hAnsi="Century Gothic"/>
        </w:rPr>
        <w:t>Par ailleurs, le projet d’instruction précise qu’un</w:t>
      </w:r>
      <w:r w:rsidRPr="008354F1">
        <w:rPr>
          <w:rFonts w:ascii="Century Gothic" w:hAnsi="Century Gothic"/>
        </w:rPr>
        <w:t xml:space="preserve"> document </w:t>
      </w:r>
      <w:r>
        <w:rPr>
          <w:rFonts w:ascii="Century Gothic" w:hAnsi="Century Gothic"/>
        </w:rPr>
        <w:t xml:space="preserve">ultérieur </w:t>
      </w:r>
      <w:r w:rsidRPr="008354F1">
        <w:rPr>
          <w:rFonts w:ascii="Century Gothic" w:hAnsi="Century Gothic"/>
        </w:rPr>
        <w:t xml:space="preserve">sera élaboré avec l’ASP et transmis </w:t>
      </w:r>
      <w:r>
        <w:rPr>
          <w:rFonts w:ascii="Century Gothic" w:hAnsi="Century Gothic"/>
        </w:rPr>
        <w:t>aux ESAT</w:t>
      </w:r>
      <w:r w:rsidRPr="008354F1">
        <w:rPr>
          <w:rFonts w:ascii="Century Gothic" w:hAnsi="Century Gothic"/>
        </w:rPr>
        <w:t xml:space="preserve"> pour présenter le contenu de cette mesure d’annualisation</w:t>
      </w:r>
      <w:r>
        <w:rPr>
          <w:rFonts w:ascii="Century Gothic" w:hAnsi="Century Gothic"/>
        </w:rPr>
        <w:t xml:space="preserve"> (pas de date définie). </w:t>
      </w:r>
    </w:p>
    <w:p w14:paraId="724D1F63" w14:textId="3D035E60" w:rsidR="008354F1" w:rsidRDefault="004877F0" w:rsidP="004E4C02">
      <w:pPr>
        <w:pStyle w:val="Titre1"/>
        <w:numPr>
          <w:ilvl w:val="0"/>
          <w:numId w:val="5"/>
        </w:numPr>
      </w:pPr>
      <w:r>
        <w:t>C</w:t>
      </w:r>
      <w:r w:rsidRPr="004877F0">
        <w:t>omment réintégrer un Travailleur sorti vers le MO alors que son ESAT d'origine a fait entrer un nouveau Travailleur (pour conserver taux d’occupation : 1 sortie/1 entrée)</w:t>
      </w:r>
    </w:p>
    <w:p w14:paraId="2214B417" w14:textId="38E46D27" w:rsidR="008354F1" w:rsidRPr="008354F1" w:rsidRDefault="008354F1" w:rsidP="008354F1">
      <w:pPr>
        <w:rPr>
          <w:rFonts w:ascii="Century Gothic" w:hAnsi="Century Gothic"/>
          <w:iCs/>
        </w:rPr>
      </w:pPr>
    </w:p>
    <w:p w14:paraId="2E3C3A00" w14:textId="0E4B5785" w:rsidR="008354F1" w:rsidRPr="004E4C02" w:rsidRDefault="008354F1" w:rsidP="008354F1">
      <w:pPr>
        <w:rPr>
          <w:rFonts w:ascii="Century Gothic" w:hAnsi="Century Gothic"/>
          <w:iCs/>
        </w:rPr>
      </w:pPr>
      <w:r w:rsidRPr="008354F1">
        <w:rPr>
          <w:rFonts w:ascii="Century Gothic" w:hAnsi="Century Gothic"/>
          <w:iCs/>
        </w:rPr>
        <w:lastRenderedPageBreak/>
        <w:t>Cf réponse précédente</w:t>
      </w:r>
      <w:r w:rsidR="004E4C02">
        <w:rPr>
          <w:rFonts w:ascii="Century Gothic" w:hAnsi="Century Gothic"/>
          <w:iCs/>
        </w:rPr>
        <w:t xml:space="preserve">. Par ailleurs, voici les mots de </w:t>
      </w:r>
      <w:r w:rsidR="004E4C02" w:rsidRPr="004E4C02">
        <w:rPr>
          <w:rFonts w:ascii="Century Gothic" w:hAnsi="Century Gothic"/>
          <w:iCs/>
        </w:rPr>
        <w:t>Virginie LASSERRE, Directrice Générale de la Cohésion Sociale</w:t>
      </w:r>
      <w:r w:rsidR="004E4C02" w:rsidRPr="004E4C02">
        <w:rPr>
          <w:rFonts w:ascii="Century Gothic" w:hAnsi="Century Gothic"/>
          <w:iCs/>
        </w:rPr>
        <w:t xml:space="preserve">, </w:t>
      </w:r>
      <w:r w:rsidR="004E4C02">
        <w:rPr>
          <w:rFonts w:ascii="Century Gothic" w:hAnsi="Century Gothic"/>
          <w:iCs/>
        </w:rPr>
        <w:t xml:space="preserve">sur le sens de cette mesure : </w:t>
      </w:r>
    </w:p>
    <w:p w14:paraId="3F6380AB" w14:textId="65C0C5F3" w:rsidR="00AF1F4A" w:rsidRPr="008354F1" w:rsidRDefault="008354F1" w:rsidP="008354F1">
      <w:pPr>
        <w:rPr>
          <w:rFonts w:ascii="Century Gothic" w:hAnsi="Century Gothic"/>
          <w:iCs/>
        </w:rPr>
      </w:pPr>
      <w:r>
        <w:rPr>
          <w:rFonts w:ascii="Century Gothic" w:hAnsi="Century Gothic"/>
          <w:iCs/>
        </w:rPr>
        <w:t>« </w:t>
      </w:r>
      <w:r w:rsidR="00AF1F4A" w:rsidRPr="008354F1">
        <w:rPr>
          <w:rFonts w:ascii="Century Gothic" w:hAnsi="Century Gothic"/>
          <w:i/>
          <w:iCs/>
        </w:rPr>
        <w:t xml:space="preserve">L’annualisation de l’aide au poste versée par l’Etat aux ESAT au titre de la garantie de ressources des travailleurs handicapés, valorisée dans les crédits du programme, permettra </w:t>
      </w:r>
      <w:r w:rsidR="00AF1F4A" w:rsidRPr="008354F1">
        <w:rPr>
          <w:rFonts w:ascii="Century Gothic" w:hAnsi="Century Gothic"/>
          <w:i/>
          <w:iCs/>
          <w:highlight w:val="yellow"/>
        </w:rPr>
        <w:t>le dépassement temporaire du plafond de postes par les établissements en cours d’année</w:t>
      </w:r>
      <w:r w:rsidR="00AF1F4A" w:rsidRPr="008354F1">
        <w:rPr>
          <w:rFonts w:ascii="Century Gothic" w:hAnsi="Century Gothic"/>
          <w:i/>
          <w:iCs/>
        </w:rPr>
        <w:t>. Les crédits du programme ont ainsi été rehaussés afin de permettre la mise en œuvre effective d’un droit au retour sans nouvelle décision administrative de la MDPH pour les usagers d’ESAT ayant choisi de partir travailler en milieu ordinaire</w:t>
      </w:r>
      <w:r>
        <w:rPr>
          <w:rFonts w:ascii="Century Gothic" w:hAnsi="Century Gothic"/>
          <w:iCs/>
        </w:rPr>
        <w:t xml:space="preserve"> ». </w:t>
      </w:r>
    </w:p>
    <w:p w14:paraId="2EE1C55C" w14:textId="5686D5F1" w:rsidR="008354F1" w:rsidRDefault="004877F0" w:rsidP="008354F1">
      <w:pPr>
        <w:pStyle w:val="Titre1"/>
        <w:numPr>
          <w:ilvl w:val="0"/>
          <w:numId w:val="5"/>
        </w:numPr>
      </w:pPr>
      <w:r w:rsidRPr="004877F0">
        <w:t xml:space="preserve">Quel est l'impact de la loi 3Ds sur ce plan et y-a-t-il une mise en </w:t>
      </w:r>
      <w:r w:rsidR="00AF1F4A" w:rsidRPr="004877F0">
        <w:t>œuvre</w:t>
      </w:r>
      <w:r w:rsidRPr="004877F0">
        <w:t xml:space="preserve"> différente par région</w:t>
      </w:r>
      <w:r>
        <w:t xml:space="preserve"> ? </w:t>
      </w:r>
    </w:p>
    <w:p w14:paraId="0DCA5027" w14:textId="77777777" w:rsidR="004E4C02" w:rsidRPr="004E4C02" w:rsidRDefault="004E4C02" w:rsidP="004E4C02"/>
    <w:p w14:paraId="63AE49D6" w14:textId="77777777" w:rsidR="00AF1F4A" w:rsidRDefault="00AF1F4A" w:rsidP="00AF1F4A">
      <w:pPr>
        <w:rPr>
          <w:rFonts w:ascii="Century Gothic" w:hAnsi="Century Gothic"/>
          <w:iCs/>
        </w:rPr>
      </w:pPr>
      <w:r w:rsidRPr="00AF1F4A">
        <w:rPr>
          <w:rFonts w:ascii="Century Gothic" w:hAnsi="Century Gothic"/>
          <w:iCs/>
        </w:rPr>
        <w:t xml:space="preserve">Le plan concerne l’ensemble des ESAT </w:t>
      </w:r>
      <w:r>
        <w:rPr>
          <w:rFonts w:ascii="Century Gothic" w:hAnsi="Century Gothic"/>
          <w:iCs/>
        </w:rPr>
        <w:t xml:space="preserve">en France, pas de mise en œuvre différente par région. </w:t>
      </w:r>
    </w:p>
    <w:p w14:paraId="30537D52" w14:textId="77777777" w:rsidR="00AF1F4A" w:rsidRDefault="00AF1F4A" w:rsidP="00AF1F4A">
      <w:pPr>
        <w:rPr>
          <w:rFonts w:ascii="Century Gothic" w:hAnsi="Century Gothic"/>
          <w:b/>
          <w:iCs/>
        </w:rPr>
      </w:pPr>
      <w:r>
        <w:rPr>
          <w:rFonts w:ascii="Century Gothic" w:hAnsi="Century Gothic"/>
          <w:iCs/>
        </w:rPr>
        <w:t xml:space="preserve">Impact de la loi 3DS : </w:t>
      </w:r>
      <w:r w:rsidRPr="00B02F1A">
        <w:rPr>
          <w:rFonts w:ascii="Century Gothic" w:hAnsi="Century Gothic"/>
          <w:b/>
          <w:iCs/>
        </w:rPr>
        <w:t>Article 136 de cette loi</w:t>
      </w:r>
      <w:r w:rsidR="00B02F1A">
        <w:rPr>
          <w:rFonts w:ascii="Century Gothic" w:hAnsi="Century Gothic"/>
          <w:b/>
          <w:iCs/>
        </w:rPr>
        <w:t xml:space="preserve"> : </w:t>
      </w:r>
    </w:p>
    <w:p w14:paraId="0DFB7FD2" w14:textId="1A5D8E64" w:rsidR="00B02F1A" w:rsidRDefault="008354F1" w:rsidP="00B02F1A">
      <w:pPr>
        <w:pStyle w:val="Paragraphedeliste"/>
        <w:numPr>
          <w:ilvl w:val="0"/>
          <w:numId w:val="4"/>
        </w:numPr>
        <w:rPr>
          <w:rFonts w:ascii="Century Gothic" w:hAnsi="Century Gothic"/>
          <w:iCs/>
        </w:rPr>
      </w:pPr>
      <w:r>
        <w:rPr>
          <w:rFonts w:ascii="Century Gothic" w:hAnsi="Century Gothic"/>
          <w:iCs/>
        </w:rPr>
        <w:t>Consécration du P</w:t>
      </w:r>
      <w:r w:rsidR="00B02F1A">
        <w:rPr>
          <w:rFonts w:ascii="Century Gothic" w:hAnsi="Century Gothic"/>
          <w:iCs/>
        </w:rPr>
        <w:t xml:space="preserve">arcours renforcé en emploi </w:t>
      </w:r>
    </w:p>
    <w:p w14:paraId="04634447" w14:textId="6F43B19C" w:rsidR="00B02F1A" w:rsidRPr="00B02F1A" w:rsidRDefault="00B02F1A" w:rsidP="00B02F1A">
      <w:pPr>
        <w:pStyle w:val="Paragraphedeliste"/>
        <w:numPr>
          <w:ilvl w:val="0"/>
          <w:numId w:val="4"/>
        </w:numPr>
        <w:rPr>
          <w:rFonts w:ascii="Century Gothic" w:hAnsi="Century Gothic"/>
          <w:iCs/>
        </w:rPr>
      </w:pPr>
      <w:r>
        <w:rPr>
          <w:rFonts w:ascii="Century Gothic" w:hAnsi="Century Gothic"/>
          <w:iCs/>
        </w:rPr>
        <w:t xml:space="preserve">RQTH automatique à certaines conditions </w:t>
      </w:r>
      <w:r w:rsidR="00F3019E">
        <w:rPr>
          <w:rFonts w:ascii="Century Gothic" w:hAnsi="Century Gothic"/>
          <w:iCs/>
        </w:rPr>
        <w:t>(</w:t>
      </w:r>
      <w:proofErr w:type="spellStart"/>
      <w:r w:rsidR="00F3019E">
        <w:rPr>
          <w:rFonts w:ascii="Century Gothic" w:hAnsi="Century Gothic"/>
          <w:iCs/>
        </w:rPr>
        <w:t>cf</w:t>
      </w:r>
      <w:proofErr w:type="spellEnd"/>
      <w:r w:rsidR="00F3019E">
        <w:rPr>
          <w:rFonts w:ascii="Century Gothic" w:hAnsi="Century Gothic"/>
          <w:iCs/>
        </w:rPr>
        <w:t xml:space="preserve"> ci-dessous) </w:t>
      </w:r>
    </w:p>
    <w:p w14:paraId="6F3F18FA" w14:textId="7D6AC93C" w:rsidR="00AF1F4A" w:rsidRDefault="00AF1F4A" w:rsidP="00AF1F4A">
      <w:pPr>
        <w:pStyle w:val="Titre2"/>
        <w:shd w:val="clear" w:color="auto" w:fill="FFFFFF"/>
        <w:spacing w:before="0" w:after="120"/>
        <w:rPr>
          <w:rFonts w:ascii="Arial" w:hAnsi="Arial" w:cs="Arial"/>
          <w:color w:val="4A5E81"/>
          <w:sz w:val="21"/>
          <w:szCs w:val="21"/>
        </w:rPr>
      </w:pPr>
      <w:r>
        <w:rPr>
          <w:rFonts w:ascii="Arial" w:hAnsi="Arial" w:cs="Arial"/>
          <w:color w:val="4A5E81"/>
          <w:sz w:val="21"/>
          <w:szCs w:val="21"/>
        </w:rPr>
        <w:t>Article L5213-2</w:t>
      </w:r>
      <w:r w:rsidR="008354F1">
        <w:rPr>
          <w:rFonts w:ascii="Arial" w:hAnsi="Arial" w:cs="Arial"/>
          <w:color w:val="4A5E81"/>
          <w:sz w:val="21"/>
          <w:szCs w:val="21"/>
        </w:rPr>
        <w:t xml:space="preserve"> CASF</w:t>
      </w:r>
    </w:p>
    <w:p w14:paraId="62AE3012" w14:textId="77777777" w:rsidR="00AF1F4A" w:rsidRPr="00AF1F4A" w:rsidRDefault="00AF1F4A" w:rsidP="00AF1F4A">
      <w:pPr>
        <w:pStyle w:val="Titre6"/>
        <w:shd w:val="clear" w:color="auto" w:fill="FFFFFF"/>
        <w:spacing w:before="0" w:after="120"/>
        <w:rPr>
          <w:rFonts w:ascii="Arial" w:hAnsi="Arial" w:cs="Arial"/>
          <w:color w:val="D51622"/>
          <w:sz w:val="21"/>
          <w:szCs w:val="21"/>
        </w:rPr>
      </w:pPr>
      <w:r>
        <w:rPr>
          <w:rFonts w:ascii="Arial" w:hAnsi="Arial" w:cs="Arial"/>
          <w:color w:val="D51622"/>
          <w:sz w:val="21"/>
          <w:szCs w:val="21"/>
        </w:rPr>
        <w:t>Version en vigueur depuis le 23 février 2022</w:t>
      </w:r>
      <w:r>
        <w:rPr>
          <w:rFonts w:ascii="Arial" w:hAnsi="Arial" w:cs="Arial"/>
          <w:color w:val="000000"/>
          <w:sz w:val="21"/>
          <w:szCs w:val="21"/>
        </w:rPr>
        <w:br/>
      </w:r>
    </w:p>
    <w:p w14:paraId="4F77091E" w14:textId="77777777" w:rsidR="00AF1F4A" w:rsidRDefault="00F62A1A" w:rsidP="00AF1F4A">
      <w:pPr>
        <w:pStyle w:val="Date1"/>
        <w:shd w:val="clear" w:color="auto" w:fill="FFFFFF"/>
        <w:spacing w:before="0" w:beforeAutospacing="0" w:after="75" w:afterAutospacing="0"/>
        <w:rPr>
          <w:rFonts w:ascii="Arial" w:hAnsi="Arial" w:cs="Arial"/>
          <w:b/>
          <w:bCs/>
          <w:color w:val="000000"/>
          <w:sz w:val="21"/>
          <w:szCs w:val="21"/>
        </w:rPr>
      </w:pPr>
      <w:hyperlink r:id="rId9" w:history="1">
        <w:r w:rsidR="00AF1F4A">
          <w:rPr>
            <w:rStyle w:val="Lienhypertexte"/>
            <w:rFonts w:ascii="Arial" w:eastAsiaTheme="majorEastAsia" w:hAnsi="Arial" w:cs="Arial"/>
            <w:b/>
            <w:bCs/>
            <w:color w:val="4A5E81"/>
            <w:sz w:val="21"/>
            <w:szCs w:val="21"/>
          </w:rPr>
          <w:t>Modifié par LOI n°2022-217 du 21 février 2022 - art. 136</w:t>
        </w:r>
        <w:r w:rsidR="00AF1F4A">
          <w:rPr>
            <w:rFonts w:ascii="Arial" w:hAnsi="Arial" w:cs="Arial"/>
            <w:b/>
            <w:bCs/>
            <w:color w:val="4A5E81"/>
            <w:sz w:val="21"/>
            <w:szCs w:val="21"/>
            <w:u w:val="single"/>
          </w:rPr>
          <w:br/>
        </w:r>
      </w:hyperlink>
      <w:hyperlink r:id="rId10" w:history="1">
        <w:r w:rsidR="00AF1F4A">
          <w:rPr>
            <w:rStyle w:val="Lienhypertexte"/>
            <w:rFonts w:ascii="Arial" w:eastAsiaTheme="majorEastAsia" w:hAnsi="Arial" w:cs="Arial"/>
            <w:b/>
            <w:bCs/>
            <w:color w:val="4A5E81"/>
            <w:sz w:val="21"/>
            <w:szCs w:val="21"/>
          </w:rPr>
          <w:t>Modifié par LOI n°2018-771 du 5 septembre 2018 - art. 67 (V)</w:t>
        </w:r>
        <w:r w:rsidR="00AF1F4A">
          <w:rPr>
            <w:rFonts w:ascii="Arial" w:hAnsi="Arial" w:cs="Arial"/>
            <w:b/>
            <w:bCs/>
            <w:color w:val="4A5E81"/>
            <w:sz w:val="21"/>
            <w:szCs w:val="21"/>
            <w:u w:val="single"/>
          </w:rPr>
          <w:br/>
        </w:r>
      </w:hyperlink>
    </w:p>
    <w:p w14:paraId="24A590ED" w14:textId="77777777" w:rsidR="00AF1F4A" w:rsidRDefault="00AF1F4A" w:rsidP="00AF1F4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t>La qualité de travailleur handicapé est reconnue par la commission des droits et de l'autonomie des personnes handicapées mentionnée à l'article </w:t>
      </w:r>
      <w:hyperlink r:id="rId11" w:history="1">
        <w:r>
          <w:rPr>
            <w:rStyle w:val="Lienhypertexte"/>
            <w:rFonts w:ascii="Arial" w:eastAsiaTheme="majorEastAsia" w:hAnsi="Arial" w:cs="Arial"/>
            <w:color w:val="4A5E81"/>
            <w:sz w:val="21"/>
            <w:szCs w:val="21"/>
          </w:rPr>
          <w:t>L. 241-5</w:t>
        </w:r>
      </w:hyperlink>
      <w:r>
        <w:rPr>
          <w:rFonts w:ascii="Arial" w:hAnsi="Arial" w:cs="Arial"/>
          <w:color w:val="000000"/>
          <w:sz w:val="21"/>
          <w:szCs w:val="21"/>
        </w:rPr>
        <w:t xml:space="preserve"> du code de l'action sociale et des familles. Cette reconnaissance s'accompagne d'une orientation vers un établissement ou service d'aide par le travail, vers le marché du travail ou vers un centre de rééducation professionnelle. </w:t>
      </w:r>
      <w:r w:rsidRPr="00B02F1A">
        <w:rPr>
          <w:rFonts w:ascii="Arial" w:hAnsi="Arial" w:cs="Arial"/>
          <w:color w:val="000000"/>
          <w:sz w:val="21"/>
          <w:szCs w:val="21"/>
          <w:highlight w:val="yellow"/>
        </w:rPr>
        <w:t>La sortie d'un établissement ou service d'aide par le travail vers le milieu ordinaire s'effectue dans le cadre d'un parcours renforcé en emploi, dont les modalités sont fixées par décret</w:t>
      </w:r>
      <w:r>
        <w:rPr>
          <w:rFonts w:ascii="Arial" w:hAnsi="Arial" w:cs="Arial"/>
          <w:color w:val="000000"/>
          <w:sz w:val="21"/>
          <w:szCs w:val="21"/>
        </w:rPr>
        <w:t xml:space="preserve">. L'orientation vers un établissement ou service d'aide par le travail, vers le marché du travail ou vers un centre de rééducation professionnelle vaut reconnaissance de la qualité de travailleur handicapé. </w:t>
      </w:r>
      <w:r w:rsidRPr="00B02F1A">
        <w:rPr>
          <w:rFonts w:ascii="Arial" w:hAnsi="Arial" w:cs="Arial"/>
          <w:color w:val="000000"/>
          <w:sz w:val="21"/>
          <w:szCs w:val="21"/>
          <w:highlight w:val="yellow"/>
        </w:rPr>
        <w:t>Pour les mineurs âgés d'au moins seize ans, l'attribution de l'allocation mentionnée à l'article L. 541-1 du code de la sécurité sociale ou de la prestation mentionnée à l'article L. 245-1 du code de l'action sociale et des familles ainsi que le bénéfice d'un projet personnalisé de scolarisation valent reconnaissance de la qualité de travailleur handicapé</w:t>
      </w:r>
      <w:r>
        <w:rPr>
          <w:rFonts w:ascii="Arial" w:hAnsi="Arial" w:cs="Arial"/>
          <w:color w:val="000000"/>
          <w:sz w:val="21"/>
          <w:szCs w:val="21"/>
        </w:rPr>
        <w:t>. Lorsque le handicap est irréversible, la qualité de travailleur handicapé est attribuée de façon définitive.</w:t>
      </w:r>
    </w:p>
    <w:p w14:paraId="194C33F8" w14:textId="77777777" w:rsidR="00B02F1A" w:rsidRDefault="00B02F1A" w:rsidP="00AF1F4A">
      <w:pPr>
        <w:pStyle w:val="NormalWeb"/>
        <w:shd w:val="clear" w:color="auto" w:fill="FFFFFF"/>
        <w:spacing w:before="0" w:beforeAutospacing="0" w:after="240" w:afterAutospacing="0"/>
        <w:rPr>
          <w:rFonts w:ascii="Arial" w:hAnsi="Arial" w:cs="Arial"/>
          <w:color w:val="000000"/>
          <w:sz w:val="21"/>
          <w:szCs w:val="21"/>
        </w:rPr>
      </w:pPr>
    </w:p>
    <w:p w14:paraId="1E39EBC2" w14:textId="117A29C1" w:rsidR="004877F0" w:rsidRDefault="004877F0" w:rsidP="004E4C02">
      <w:pPr>
        <w:pStyle w:val="Titre1"/>
        <w:numPr>
          <w:ilvl w:val="0"/>
          <w:numId w:val="5"/>
        </w:numPr>
      </w:pPr>
      <w:r w:rsidRPr="004877F0">
        <w:t xml:space="preserve">Cumul temps partiel ESAT MO : Quid du statut ? Usagers à moitié et salarié à moitié ? </w:t>
      </w:r>
    </w:p>
    <w:p w14:paraId="683B85AA" w14:textId="77777777" w:rsidR="00F3019E" w:rsidRDefault="00F3019E" w:rsidP="00F3019E">
      <w:pPr>
        <w:autoSpaceDE w:val="0"/>
        <w:autoSpaceDN w:val="0"/>
        <w:adjustRightInd w:val="0"/>
        <w:spacing w:after="0" w:line="240" w:lineRule="auto"/>
        <w:jc w:val="both"/>
        <w:rPr>
          <w:rFonts w:ascii="Arial" w:hAnsi="Arial" w:cs="Arial"/>
          <w:b/>
        </w:rPr>
      </w:pPr>
    </w:p>
    <w:p w14:paraId="109E956C" w14:textId="51C03EEA" w:rsidR="008354F1" w:rsidRDefault="008354F1" w:rsidP="00F3019E">
      <w:pPr>
        <w:rPr>
          <w:rFonts w:ascii="Century Gothic" w:hAnsi="Century Gothic"/>
          <w:iCs/>
        </w:rPr>
      </w:pPr>
      <w:r w:rsidRPr="008354F1">
        <w:rPr>
          <w:rFonts w:ascii="Century Gothic" w:hAnsi="Century Gothic"/>
          <w:iCs/>
        </w:rPr>
        <w:t>L</w:t>
      </w:r>
      <w:r>
        <w:rPr>
          <w:rFonts w:ascii="Century Gothic" w:hAnsi="Century Gothic"/>
          <w:iCs/>
        </w:rPr>
        <w:t>a personne cumulant un temps partiel aurait en effet un double statut (usager/ salarié). Un cadre a été précisé (projet de Décret) qu’il reste à définir, notamment concernant les ressources (</w:t>
      </w:r>
      <w:r w:rsidR="004E4C02">
        <w:rPr>
          <w:rFonts w:ascii="Century Gothic" w:hAnsi="Century Gothic"/>
          <w:iCs/>
        </w:rPr>
        <w:t xml:space="preserve">c’est ce que précise le </w:t>
      </w:r>
      <w:r>
        <w:rPr>
          <w:rFonts w:ascii="Century Gothic" w:hAnsi="Century Gothic"/>
          <w:iCs/>
        </w:rPr>
        <w:t xml:space="preserve">projet d’instruction). </w:t>
      </w:r>
    </w:p>
    <w:p w14:paraId="6B260D3C" w14:textId="77777777" w:rsidR="008354F1" w:rsidRDefault="008354F1" w:rsidP="008354F1">
      <w:pPr>
        <w:rPr>
          <w:rFonts w:ascii="Century Gothic" w:hAnsi="Century Gothic"/>
          <w:i/>
          <w:iCs/>
          <w:color w:val="70AD47" w:themeColor="accent6"/>
        </w:rPr>
      </w:pPr>
    </w:p>
    <w:p w14:paraId="1BD2B037" w14:textId="20FED45F" w:rsidR="008354F1" w:rsidRPr="00C16CB2" w:rsidRDefault="008354F1" w:rsidP="008354F1">
      <w:pPr>
        <w:rPr>
          <w:rFonts w:ascii="Century Gothic" w:hAnsi="Century Gothic"/>
          <w:i/>
          <w:iCs/>
        </w:rPr>
      </w:pPr>
      <w:r>
        <w:rPr>
          <w:rFonts w:ascii="Century Gothic" w:hAnsi="Century Gothic"/>
          <w:i/>
          <w:iCs/>
          <w:color w:val="70AD47" w:themeColor="accent6"/>
        </w:rPr>
        <w:t>Extrait du p</w:t>
      </w:r>
      <w:r w:rsidRPr="008354F1">
        <w:rPr>
          <w:rFonts w:ascii="Century Gothic" w:hAnsi="Century Gothic"/>
          <w:i/>
          <w:iCs/>
          <w:color w:val="70AD47" w:themeColor="accent6"/>
        </w:rPr>
        <w:t xml:space="preserve">rojet </w:t>
      </w:r>
      <w:r>
        <w:rPr>
          <w:rFonts w:ascii="Century Gothic" w:hAnsi="Century Gothic"/>
          <w:i/>
          <w:iCs/>
          <w:color w:val="70AD47" w:themeColor="accent6"/>
        </w:rPr>
        <w:t xml:space="preserve">de Décret : </w:t>
      </w:r>
    </w:p>
    <w:p w14:paraId="7CBEFCF4" w14:textId="77777777" w:rsidR="008354F1" w:rsidRPr="004E4C02" w:rsidRDefault="008354F1" w:rsidP="008354F1">
      <w:pPr>
        <w:spacing w:before="100" w:beforeAutospacing="1" w:after="100" w:afterAutospacing="1" w:line="240" w:lineRule="auto"/>
        <w:jc w:val="both"/>
        <w:rPr>
          <w:rFonts w:ascii="Century Gothic" w:eastAsia="Times New Roman" w:hAnsi="Century Gothic" w:cs="Times New Roman"/>
          <w:color w:val="4472C4" w:themeColor="accent1"/>
          <w:szCs w:val="24"/>
          <w:lang w:eastAsia="fr-FR"/>
        </w:rPr>
      </w:pPr>
      <w:r w:rsidRPr="004E4C02">
        <w:rPr>
          <w:rFonts w:ascii="Century Gothic" w:eastAsia="Times New Roman" w:hAnsi="Century Gothic" w:cs="Times New Roman"/>
          <w:color w:val="4472C4" w:themeColor="accent1"/>
          <w:szCs w:val="24"/>
          <w:lang w:eastAsia="fr-FR"/>
        </w:rPr>
        <w:t xml:space="preserve">2° </w:t>
      </w:r>
      <w:r w:rsidRPr="004E4C02">
        <w:rPr>
          <w:rFonts w:ascii="Century Gothic" w:eastAsia="Times New Roman" w:hAnsi="Century Gothic" w:cs="Times New Roman"/>
          <w:b/>
          <w:color w:val="4472C4" w:themeColor="accent1"/>
          <w:szCs w:val="24"/>
          <w:lang w:eastAsia="fr-FR"/>
        </w:rPr>
        <w:t>L'article R. 243-3 est remplacé par les dispositions suivantes :</w:t>
      </w:r>
    </w:p>
    <w:p w14:paraId="45FB07B7" w14:textId="77777777" w:rsidR="008354F1" w:rsidRPr="004E4C02" w:rsidRDefault="008354F1" w:rsidP="008354F1">
      <w:pPr>
        <w:spacing w:before="100" w:beforeAutospacing="1" w:after="100" w:afterAutospacing="1" w:line="240" w:lineRule="auto"/>
        <w:jc w:val="both"/>
        <w:rPr>
          <w:rFonts w:ascii="Century Gothic" w:eastAsia="Times New Roman" w:hAnsi="Century Gothic" w:cs="Times New Roman"/>
          <w:color w:val="4472C4" w:themeColor="accent1"/>
          <w:szCs w:val="24"/>
          <w:lang w:eastAsia="fr-FR"/>
        </w:rPr>
      </w:pPr>
      <w:r w:rsidRPr="004E4C02">
        <w:rPr>
          <w:rFonts w:ascii="Century Gothic" w:eastAsia="Times New Roman" w:hAnsi="Century Gothic" w:cs="Times New Roman"/>
          <w:color w:val="4472C4" w:themeColor="accent1"/>
          <w:szCs w:val="24"/>
          <w:lang w:eastAsia="fr-FR"/>
        </w:rPr>
        <w:t xml:space="preserve">« </w:t>
      </w:r>
      <w:r w:rsidRPr="004E4C02">
        <w:rPr>
          <w:rFonts w:ascii="Century Gothic" w:eastAsia="Times New Roman" w:hAnsi="Century Gothic" w:cs="Times New Roman"/>
          <w:i/>
          <w:color w:val="4472C4" w:themeColor="accent1"/>
          <w:szCs w:val="24"/>
          <w:lang w:eastAsia="fr-FR"/>
        </w:rPr>
        <w:t>Art. R. 243-3.</w:t>
      </w:r>
      <w:r w:rsidRPr="004E4C02">
        <w:rPr>
          <w:rFonts w:ascii="Century Gothic" w:eastAsia="Times New Roman" w:hAnsi="Century Gothic" w:cs="Times New Roman"/>
          <w:color w:val="4472C4" w:themeColor="accent1"/>
          <w:szCs w:val="24"/>
          <w:lang w:eastAsia="fr-FR"/>
        </w:rPr>
        <w:t xml:space="preserve"> - </w:t>
      </w:r>
      <w:r w:rsidRPr="004E4C02">
        <w:rPr>
          <w:rFonts w:ascii="Century Gothic" w:hAnsi="Century Gothic" w:cs="Times New Roman"/>
          <w:color w:val="4472C4" w:themeColor="accent1"/>
          <w:szCs w:val="24"/>
        </w:rPr>
        <w:t>La double activité mentionnée à l’article R. 243-1 exercée par les travailleurs handicapés orientés et accueillis en établissements et services d’aide par le travail s’inscrit dans le cadre de la mise en œuvre de leur projet de vie professionnelle et doit à ce titre être mentionnée dans leur contrat de soutien et d’aide par le travail.</w:t>
      </w:r>
    </w:p>
    <w:p w14:paraId="4A63C0AF" w14:textId="77777777" w:rsidR="008354F1" w:rsidRPr="004E4C02" w:rsidRDefault="008354F1" w:rsidP="008354F1">
      <w:pPr>
        <w:jc w:val="both"/>
        <w:rPr>
          <w:rFonts w:ascii="Century Gothic" w:hAnsi="Century Gothic" w:cs="Times New Roman"/>
          <w:color w:val="4472C4" w:themeColor="accent1"/>
          <w:szCs w:val="24"/>
        </w:rPr>
      </w:pPr>
      <w:r w:rsidRPr="004E4C02">
        <w:rPr>
          <w:rFonts w:ascii="Century Gothic" w:hAnsi="Century Gothic" w:cs="Times New Roman"/>
          <w:color w:val="4472C4" w:themeColor="accent1"/>
          <w:szCs w:val="24"/>
        </w:rPr>
        <w:t xml:space="preserve">« L’activité salariée peut être exercée pour le compte d’une entreprise, d’une collectivité territoriale, d’un établissement public national ou local, d’une association, ou de toute autre personne morale de droit public ou de droit privé, ainsi qu’auprès d’une personne physique, à l’exclusion de tout employeur auprès duquel le travailleur exerce déjà une activité dans le cadre d’un contrat de mise à disposition conclu par l’établissement et service d’aide par le travail qui l’accueille à temps partiel. </w:t>
      </w:r>
    </w:p>
    <w:p w14:paraId="6FE3E52B" w14:textId="77777777" w:rsidR="008354F1" w:rsidRPr="004E4C02" w:rsidRDefault="008354F1" w:rsidP="008354F1">
      <w:pPr>
        <w:jc w:val="both"/>
        <w:rPr>
          <w:rFonts w:ascii="Century Gothic" w:hAnsi="Century Gothic" w:cs="Times New Roman"/>
          <w:color w:val="4472C4" w:themeColor="accent1"/>
          <w:szCs w:val="24"/>
        </w:rPr>
      </w:pPr>
      <w:r w:rsidRPr="004E4C02">
        <w:rPr>
          <w:rFonts w:ascii="Century Gothic" w:hAnsi="Century Gothic" w:cs="Times New Roman"/>
          <w:color w:val="4472C4" w:themeColor="accent1"/>
          <w:szCs w:val="24"/>
        </w:rPr>
        <w:t xml:space="preserve">« Cette activité salariée peut être exercée dans une entreprise adaptée gérée en budget annexe de l’établissement et service d’aide par le travail qui accueille le ou les travailleurs concernés. </w:t>
      </w:r>
    </w:p>
    <w:p w14:paraId="14DB9C88" w14:textId="77777777" w:rsidR="008354F1" w:rsidRPr="004E4C02" w:rsidRDefault="008354F1" w:rsidP="008354F1">
      <w:pPr>
        <w:jc w:val="both"/>
        <w:rPr>
          <w:rFonts w:ascii="Century Gothic" w:hAnsi="Century Gothic" w:cs="Times New Roman"/>
          <w:color w:val="4472C4" w:themeColor="accent1"/>
          <w:szCs w:val="24"/>
        </w:rPr>
      </w:pPr>
      <w:r w:rsidRPr="004E4C02">
        <w:rPr>
          <w:rFonts w:ascii="Century Gothic" w:hAnsi="Century Gothic" w:cs="Times New Roman"/>
          <w:color w:val="4472C4" w:themeColor="accent1"/>
          <w:szCs w:val="24"/>
        </w:rPr>
        <w:t>« L’activité salariée peut être accomplie dans le cadre des différents types de contrats de travail, y compris les contrats en alternance.</w:t>
      </w:r>
    </w:p>
    <w:p w14:paraId="4810D543" w14:textId="77777777" w:rsidR="008354F1" w:rsidRPr="004E4C02" w:rsidRDefault="008354F1" w:rsidP="008354F1">
      <w:pPr>
        <w:jc w:val="both"/>
        <w:rPr>
          <w:rFonts w:ascii="Century Gothic" w:hAnsi="Century Gothic" w:cs="Times New Roman"/>
          <w:b/>
          <w:color w:val="4472C4" w:themeColor="accent1"/>
          <w:szCs w:val="24"/>
        </w:rPr>
      </w:pPr>
      <w:r w:rsidRPr="004E4C02">
        <w:rPr>
          <w:rFonts w:ascii="Century Gothic" w:hAnsi="Century Gothic" w:cs="Times New Roman"/>
          <w:color w:val="4472C4" w:themeColor="accent1"/>
          <w:szCs w:val="24"/>
        </w:rPr>
        <w:t>« L’exercice d’une double activité ne peut conduire à dépasser au cours d’une même journée la durée maximale quotidienne de travail fixée à dix heures par jour pour les travailleurs de dix-huit ans et plus et à huit heures pour ceux âgés de moins de dix-huit ans et accueillis en établissements et services d’aide par le travail selon la procédure prévue à l’article R. 344-6. L’exercice de la double activité est également assujetti à la durée maximale hebdomadaire de travail de quarante-quatre heures par semaine en moyenne sur une période de douze semaines.</w:t>
      </w:r>
      <w:r w:rsidRPr="004E4C02">
        <w:rPr>
          <w:rFonts w:ascii="Century Gothic" w:hAnsi="Century Gothic" w:cs="Times New Roman"/>
          <w:b/>
          <w:color w:val="4472C4" w:themeColor="accent1"/>
          <w:szCs w:val="24"/>
        </w:rPr>
        <w:t xml:space="preserve"> </w:t>
      </w:r>
    </w:p>
    <w:p w14:paraId="48D24C99" w14:textId="77777777" w:rsidR="008354F1" w:rsidRPr="004E4C02" w:rsidRDefault="008354F1" w:rsidP="008354F1">
      <w:pPr>
        <w:jc w:val="both"/>
        <w:rPr>
          <w:rFonts w:ascii="Century Gothic" w:hAnsi="Century Gothic" w:cs="Times New Roman"/>
          <w:color w:val="4472C4" w:themeColor="accent1"/>
          <w:szCs w:val="24"/>
        </w:rPr>
      </w:pPr>
      <w:r w:rsidRPr="004E4C02">
        <w:rPr>
          <w:rFonts w:ascii="Century Gothic" w:hAnsi="Century Gothic" w:cs="Times New Roman"/>
          <w:color w:val="4472C4" w:themeColor="accent1"/>
          <w:szCs w:val="24"/>
        </w:rPr>
        <w:t xml:space="preserve">« Le travailleur doit porter à la connaissance de l’employeur les éléments qui lui permettront de s’assurer du respect de la durée maximale de travail. </w:t>
      </w:r>
    </w:p>
    <w:p w14:paraId="46D15A94" w14:textId="77777777" w:rsidR="008354F1" w:rsidRPr="004E4C02" w:rsidRDefault="008354F1" w:rsidP="008354F1">
      <w:pPr>
        <w:jc w:val="both"/>
        <w:rPr>
          <w:rFonts w:ascii="Century Gothic" w:hAnsi="Century Gothic" w:cs="Times New Roman"/>
          <w:color w:val="4472C4" w:themeColor="accent1"/>
          <w:szCs w:val="24"/>
        </w:rPr>
      </w:pPr>
      <w:r w:rsidRPr="004E4C02">
        <w:rPr>
          <w:rFonts w:ascii="Century Gothic" w:hAnsi="Century Gothic" w:cs="Times New Roman"/>
          <w:bCs/>
          <w:color w:val="4472C4" w:themeColor="accent1"/>
          <w:szCs w:val="24"/>
        </w:rPr>
        <w:t>« La répartition du temps de travail est organisée au regard du respect de cette durée maximale, d’un commun accord entre le travailleur, l’établissement et service d’aide par le travail et l’employeur</w:t>
      </w:r>
      <w:r w:rsidRPr="004E4C02">
        <w:rPr>
          <w:rFonts w:ascii="Century Gothic" w:hAnsi="Century Gothic" w:cs="Times New Roman"/>
          <w:color w:val="4472C4" w:themeColor="accent1"/>
          <w:szCs w:val="24"/>
        </w:rPr>
        <w:t xml:space="preserve">. » </w:t>
      </w:r>
    </w:p>
    <w:p w14:paraId="0D1251AC" w14:textId="77777777" w:rsidR="008354F1" w:rsidRPr="008354F1" w:rsidRDefault="008354F1" w:rsidP="00F3019E">
      <w:pPr>
        <w:rPr>
          <w:rFonts w:ascii="Century Gothic" w:hAnsi="Century Gothic"/>
          <w:iCs/>
        </w:rPr>
      </w:pPr>
    </w:p>
    <w:p w14:paraId="1F55215E" w14:textId="69104F3B" w:rsidR="00AF7DC1" w:rsidRPr="004E4C02" w:rsidRDefault="008354F1" w:rsidP="00AF7DC1">
      <w:pPr>
        <w:rPr>
          <w:rFonts w:ascii="Century Gothic" w:hAnsi="Century Gothic"/>
          <w:i/>
          <w:iCs/>
          <w:color w:val="4472C4" w:themeColor="accent1"/>
        </w:rPr>
      </w:pPr>
      <w:r w:rsidRPr="008354F1">
        <w:rPr>
          <w:rFonts w:ascii="Century Gothic" w:hAnsi="Century Gothic"/>
          <w:i/>
          <w:iCs/>
          <w:color w:val="70AD47" w:themeColor="accent6"/>
        </w:rPr>
        <w:t>Projet d’Instruction </w:t>
      </w:r>
      <w:r>
        <w:rPr>
          <w:rFonts w:ascii="Century Gothic" w:hAnsi="Century Gothic"/>
          <w:i/>
          <w:iCs/>
        </w:rPr>
        <w:t xml:space="preserve">: </w:t>
      </w:r>
      <w:r w:rsidR="00F3019E" w:rsidRPr="004E4C02">
        <w:rPr>
          <w:rFonts w:ascii="Century Gothic" w:hAnsi="Century Gothic"/>
          <w:i/>
          <w:iCs/>
          <w:color w:val="4472C4" w:themeColor="accent1"/>
        </w:rPr>
        <w:t xml:space="preserve">« Les dispositions de ce décret entrent en vigueur au lendemain de sa publication, à l’exception de celles sur la double activité, dont la date d’application est reportée </w:t>
      </w:r>
      <w:r w:rsidR="00F3019E" w:rsidRPr="004E4C02">
        <w:rPr>
          <w:rFonts w:ascii="Century Gothic" w:hAnsi="Century Gothic"/>
          <w:b/>
          <w:i/>
          <w:iCs/>
          <w:color w:val="4472C4" w:themeColor="accent1"/>
        </w:rPr>
        <w:t>au 1er septembre prochain</w:t>
      </w:r>
      <w:r w:rsidR="00F3019E" w:rsidRPr="004E4C02">
        <w:rPr>
          <w:rFonts w:ascii="Century Gothic" w:hAnsi="Century Gothic"/>
          <w:i/>
          <w:iCs/>
          <w:color w:val="4472C4" w:themeColor="accent1"/>
        </w:rPr>
        <w:t xml:space="preserve">, par nécessité de mise en cohérence avec la date d’entrée en vigueur des nouvelles dispositions du code de la sécurité sociale relatives au cumul des ressources d’activité (rémunération garantie et salaire correspondant à des temps partiel) avec l’allocation aux adultes handicapés (AAH) ; ces nouvelles dispositions étant conçues et paramétrées de façon à inciter financièrement les travailleurs orientés en ESAT à exercer une double activité ». </w:t>
      </w:r>
    </w:p>
    <w:p w14:paraId="14DB7CFA" w14:textId="20D7B016" w:rsidR="004877F0" w:rsidRDefault="004877F0" w:rsidP="004E4C02">
      <w:pPr>
        <w:pStyle w:val="Titre1"/>
        <w:numPr>
          <w:ilvl w:val="0"/>
          <w:numId w:val="5"/>
        </w:numPr>
      </w:pPr>
      <w:r>
        <w:lastRenderedPageBreak/>
        <w:t>E</w:t>
      </w:r>
      <w:r w:rsidRPr="004877F0">
        <w:t>st-ce qu'un cadre sera fixé concernant la tarification des prestations d'accompagnement réalisées en entreprise ?</w:t>
      </w:r>
    </w:p>
    <w:p w14:paraId="39F23FAB" w14:textId="77777777" w:rsidR="00CF1563" w:rsidRDefault="00CF1563" w:rsidP="00CF1563">
      <w:pPr>
        <w:jc w:val="both"/>
        <w:rPr>
          <w:rFonts w:ascii="Century Gothic" w:hAnsi="Century Gothic" w:cs="Times New Roman"/>
          <w:bCs/>
          <w:sz w:val="24"/>
          <w:szCs w:val="24"/>
        </w:rPr>
      </w:pPr>
    </w:p>
    <w:p w14:paraId="476BFF74" w14:textId="623BAFC6" w:rsidR="00CF1563" w:rsidRPr="004E4C02" w:rsidRDefault="00CF1563" w:rsidP="00CF1563">
      <w:pPr>
        <w:jc w:val="both"/>
        <w:rPr>
          <w:rFonts w:ascii="Century Gothic" w:hAnsi="Century Gothic" w:cs="Times New Roman"/>
          <w:bCs/>
          <w:szCs w:val="24"/>
        </w:rPr>
      </w:pPr>
      <w:r w:rsidRPr="004E4C02">
        <w:rPr>
          <w:rFonts w:ascii="Century Gothic" w:hAnsi="Century Gothic" w:cs="Times New Roman"/>
          <w:bCs/>
          <w:szCs w:val="24"/>
        </w:rPr>
        <w:t xml:space="preserve">Dans le cadre de la </w:t>
      </w:r>
      <w:r w:rsidR="008354F1" w:rsidRPr="004E4C02">
        <w:rPr>
          <w:rFonts w:ascii="Century Gothic" w:hAnsi="Century Gothic" w:cs="Times New Roman"/>
          <w:bCs/>
          <w:szCs w:val="24"/>
        </w:rPr>
        <w:t>Mise à Disposition</w:t>
      </w:r>
      <w:r w:rsidR="001B5512" w:rsidRPr="004E4C02">
        <w:rPr>
          <w:rFonts w:ascii="Century Gothic" w:hAnsi="Century Gothic" w:cs="Times New Roman"/>
          <w:bCs/>
          <w:szCs w:val="24"/>
        </w:rPr>
        <w:t xml:space="preserve"> (MAD)</w:t>
      </w:r>
      <w:r w:rsidR="008354F1" w:rsidRPr="004E4C02">
        <w:rPr>
          <w:rFonts w:ascii="Century Gothic" w:hAnsi="Century Gothic" w:cs="Times New Roman"/>
          <w:bCs/>
          <w:szCs w:val="24"/>
        </w:rPr>
        <w:t xml:space="preserve">, c’est effectivement le cas : </w:t>
      </w:r>
    </w:p>
    <w:p w14:paraId="7968C1D4" w14:textId="055FBD35" w:rsidR="008354F1" w:rsidRPr="008354F1" w:rsidRDefault="008354F1" w:rsidP="008354F1">
      <w:pPr>
        <w:rPr>
          <w:rFonts w:ascii="Century Gothic" w:hAnsi="Century Gothic"/>
          <w:i/>
          <w:iCs/>
        </w:rPr>
      </w:pPr>
      <w:r>
        <w:rPr>
          <w:rFonts w:ascii="Century Gothic" w:hAnsi="Century Gothic"/>
          <w:i/>
          <w:iCs/>
          <w:color w:val="70AD47" w:themeColor="accent6"/>
        </w:rPr>
        <w:t>Extrait du p</w:t>
      </w:r>
      <w:r w:rsidRPr="008354F1">
        <w:rPr>
          <w:rFonts w:ascii="Century Gothic" w:hAnsi="Century Gothic"/>
          <w:i/>
          <w:iCs/>
          <w:color w:val="70AD47" w:themeColor="accent6"/>
        </w:rPr>
        <w:t xml:space="preserve">rojet </w:t>
      </w:r>
      <w:r>
        <w:rPr>
          <w:rFonts w:ascii="Century Gothic" w:hAnsi="Century Gothic"/>
          <w:i/>
          <w:iCs/>
          <w:color w:val="70AD47" w:themeColor="accent6"/>
        </w:rPr>
        <w:t xml:space="preserve">de Décret : </w:t>
      </w:r>
    </w:p>
    <w:p w14:paraId="3887AC98" w14:textId="77EA7A75" w:rsidR="00CF1563" w:rsidRPr="004E4C02" w:rsidRDefault="00CF1563" w:rsidP="00CF1563">
      <w:pPr>
        <w:jc w:val="both"/>
        <w:rPr>
          <w:rFonts w:ascii="Century Gothic" w:hAnsi="Century Gothic" w:cs="Times New Roman"/>
          <w:b/>
          <w:bCs/>
          <w:color w:val="4472C4" w:themeColor="accent1"/>
          <w:szCs w:val="24"/>
        </w:rPr>
      </w:pPr>
      <w:r w:rsidRPr="004E4C02">
        <w:rPr>
          <w:rFonts w:ascii="Century Gothic" w:hAnsi="Century Gothic" w:cs="Times New Roman"/>
          <w:b/>
          <w:bCs/>
          <w:color w:val="4472C4" w:themeColor="accent1"/>
          <w:szCs w:val="24"/>
        </w:rPr>
        <w:t>L'article R. 344-17 est ainsi modifié : […]</w:t>
      </w:r>
    </w:p>
    <w:p w14:paraId="1C6ACC41" w14:textId="545AF22E" w:rsidR="00CF1563" w:rsidRPr="004E4C02" w:rsidRDefault="00CF1563" w:rsidP="00CF1563">
      <w:pPr>
        <w:jc w:val="both"/>
        <w:rPr>
          <w:rFonts w:ascii="Century Gothic" w:hAnsi="Century Gothic" w:cs="Times New Roman"/>
          <w:bCs/>
          <w:i/>
          <w:color w:val="4472C4" w:themeColor="accent1"/>
          <w:szCs w:val="24"/>
        </w:rPr>
      </w:pPr>
      <w:r w:rsidRPr="004E4C02">
        <w:rPr>
          <w:rFonts w:ascii="Century Gothic" w:hAnsi="Century Gothic" w:cs="Times New Roman"/>
          <w:bCs/>
          <w:i/>
          <w:color w:val="4472C4" w:themeColor="accent1"/>
          <w:szCs w:val="24"/>
        </w:rPr>
        <w:t>« La facturation de l’appui individualisé et des charges particulières d’exploitation entraînées par la mise à disposition mentionnée au 3° doit prendre en compte le coût du salaire chargé du ou des personnes qui assurent cet appui rapporté au pourcentage du temps passé à cette action, ainsi que les frais de déplacement éventuels du travailleur pour se rendre sur le lieu de mise à disposition, à l’exclusion de toute marge financière. Le contrat de mise à disposition passé entre l’établissement ou le service d’aide par le travail et l’utilisateur du ou des travailleurs mis à disposition doit faire mention des différentes composantes de la facturation et de leurs montants respectifs. » ;</w:t>
      </w:r>
    </w:p>
    <w:p w14:paraId="5B27A4CF" w14:textId="67979861" w:rsidR="001B5512" w:rsidRPr="001B5512" w:rsidRDefault="001B5512" w:rsidP="001B5512">
      <w:pPr>
        <w:rPr>
          <w:rFonts w:ascii="Century Gothic" w:hAnsi="Century Gothic"/>
          <w:i/>
          <w:iCs/>
          <w:color w:val="70AD47" w:themeColor="accent6"/>
        </w:rPr>
      </w:pPr>
      <w:r w:rsidRPr="001B5512">
        <w:rPr>
          <w:rFonts w:ascii="Century Gothic" w:hAnsi="Century Gothic"/>
          <w:i/>
          <w:iCs/>
          <w:color w:val="70AD47" w:themeColor="accent6"/>
        </w:rPr>
        <w:t xml:space="preserve">Extrait du projet d’Instruction :  </w:t>
      </w:r>
    </w:p>
    <w:p w14:paraId="3A3CA41B" w14:textId="1A145C11" w:rsidR="004E4C02" w:rsidRDefault="001B5512" w:rsidP="001B5512">
      <w:pPr>
        <w:jc w:val="both"/>
        <w:rPr>
          <w:rFonts w:ascii="Century Gothic" w:hAnsi="Century Gothic" w:cs="Times New Roman"/>
          <w:i/>
          <w:color w:val="4472C4" w:themeColor="accent1"/>
          <w:szCs w:val="24"/>
        </w:rPr>
      </w:pPr>
      <w:r w:rsidRPr="004E4C02">
        <w:rPr>
          <w:rFonts w:ascii="Century Gothic" w:hAnsi="Century Gothic" w:cs="Times New Roman"/>
          <w:i/>
          <w:color w:val="4472C4" w:themeColor="accent1"/>
          <w:szCs w:val="24"/>
        </w:rPr>
        <w:t>« S’agissant de dépenses particulières liées à la mise à disposition, cette évolution de la facturation n’emporte aucune incidence sur le montant de la dotation de fonctionnement versée par les ARS ».</w:t>
      </w:r>
    </w:p>
    <w:p w14:paraId="1A1CB6BE" w14:textId="77777777" w:rsidR="004E4C02" w:rsidRPr="004E4C02" w:rsidRDefault="004E4C02" w:rsidP="001B5512">
      <w:pPr>
        <w:jc w:val="both"/>
        <w:rPr>
          <w:rFonts w:ascii="Century Gothic" w:hAnsi="Century Gothic" w:cs="Times New Roman"/>
          <w:i/>
          <w:color w:val="4472C4" w:themeColor="accent1"/>
          <w:szCs w:val="24"/>
        </w:rPr>
      </w:pPr>
    </w:p>
    <w:p w14:paraId="71BB7056" w14:textId="3BE5CD8B" w:rsidR="001B5512" w:rsidRDefault="001B5512" w:rsidP="001B5512">
      <w:pPr>
        <w:jc w:val="both"/>
        <w:rPr>
          <w:rFonts w:ascii="Century Gothic" w:hAnsi="Century Gothic" w:cs="Times New Roman"/>
          <w:sz w:val="24"/>
          <w:szCs w:val="24"/>
        </w:rPr>
      </w:pPr>
      <w:r w:rsidRPr="004E4C02">
        <w:rPr>
          <w:rFonts w:ascii="Century Gothic" w:hAnsi="Century Gothic" w:cs="Times New Roman"/>
          <w:szCs w:val="24"/>
        </w:rPr>
        <w:t xml:space="preserve">Concernant les prestations d’accompagnement dans le cadre de la sortie d’un travailleur d’ESAT, c’est l’article L 344-2-5 CASF qui prévoit la conclusion d’une convention d’appui. Ceci n’est pas une nouveauté prévue par le Plan ESAT. Cet article ne </w:t>
      </w:r>
      <w:r w:rsidR="004E4C02">
        <w:rPr>
          <w:rFonts w:ascii="Century Gothic" w:hAnsi="Century Gothic" w:cs="Times New Roman"/>
          <w:szCs w:val="24"/>
        </w:rPr>
        <w:t xml:space="preserve">donne cependant pas un cadre à la </w:t>
      </w:r>
      <w:r w:rsidRPr="004E4C02">
        <w:rPr>
          <w:rFonts w:ascii="Century Gothic" w:hAnsi="Century Gothic" w:cs="Times New Roman"/>
          <w:szCs w:val="24"/>
        </w:rPr>
        <w:t>tarification des prestations d’accompagnement</w:t>
      </w:r>
      <w:r>
        <w:rPr>
          <w:rFonts w:ascii="Century Gothic" w:hAnsi="Century Gothic" w:cs="Times New Roman"/>
          <w:sz w:val="24"/>
          <w:szCs w:val="24"/>
        </w:rPr>
        <w:t xml:space="preserve">. </w:t>
      </w:r>
    </w:p>
    <w:p w14:paraId="087F8627" w14:textId="77777777" w:rsidR="001B5512" w:rsidRPr="001B5512" w:rsidRDefault="001B5512" w:rsidP="001B5512">
      <w:pPr>
        <w:jc w:val="both"/>
        <w:rPr>
          <w:rFonts w:ascii="Century Gothic" w:hAnsi="Century Gothic" w:cs="Times New Roman"/>
          <w:sz w:val="24"/>
          <w:szCs w:val="24"/>
        </w:rPr>
      </w:pPr>
    </w:p>
    <w:p w14:paraId="0A081E70" w14:textId="0A23D358" w:rsidR="007C49AF" w:rsidRDefault="007C49AF" w:rsidP="004E4C02">
      <w:pPr>
        <w:pStyle w:val="Titre1"/>
        <w:numPr>
          <w:ilvl w:val="0"/>
          <w:numId w:val="5"/>
        </w:numPr>
      </w:pPr>
      <w:r>
        <w:t xml:space="preserve">Que change le parcours renforcé en emploi ? </w:t>
      </w:r>
    </w:p>
    <w:p w14:paraId="74846349" w14:textId="77777777" w:rsidR="007C49AF" w:rsidRDefault="007C49AF" w:rsidP="007C49AF"/>
    <w:p w14:paraId="15E1D4FE" w14:textId="34342B3E" w:rsidR="007C49AF" w:rsidRDefault="007C49AF" w:rsidP="007C49AF">
      <w:pPr>
        <w:rPr>
          <w:rFonts w:ascii="Century Gothic" w:hAnsi="Century Gothic"/>
        </w:rPr>
      </w:pPr>
      <w:r>
        <w:rPr>
          <w:rFonts w:ascii="Century Gothic" w:hAnsi="Century Gothic"/>
        </w:rPr>
        <w:t xml:space="preserve">Il est vrai que la convention d’appui, l’accompagnement par des dispositifs d’emploi accompagné ainsi que le droit au retour étaient déjà </w:t>
      </w:r>
      <w:r w:rsidR="004E4C02">
        <w:rPr>
          <w:rFonts w:ascii="Century Gothic" w:hAnsi="Century Gothic"/>
        </w:rPr>
        <w:t xml:space="preserve">prévus par le Code de l’Action Sociale et des Familles. </w:t>
      </w:r>
      <w:r>
        <w:rPr>
          <w:rFonts w:ascii="Century Gothic" w:hAnsi="Century Gothic"/>
        </w:rPr>
        <w:t xml:space="preserve"> </w:t>
      </w:r>
    </w:p>
    <w:p w14:paraId="13B4D64A" w14:textId="77777777" w:rsidR="007C49AF" w:rsidRDefault="007C49AF" w:rsidP="007C49AF">
      <w:pPr>
        <w:rPr>
          <w:rFonts w:ascii="Century Gothic" w:hAnsi="Century Gothic"/>
        </w:rPr>
      </w:pPr>
      <w:r>
        <w:rPr>
          <w:rFonts w:ascii="Century Gothic" w:hAnsi="Century Gothic"/>
        </w:rPr>
        <w:t xml:space="preserve">Cependant : </w:t>
      </w:r>
    </w:p>
    <w:p w14:paraId="1B8D8956" w14:textId="0A77AF46" w:rsidR="007C49AF" w:rsidRDefault="007C49AF" w:rsidP="004E4C02">
      <w:pPr>
        <w:pStyle w:val="Paragraphedeliste"/>
        <w:numPr>
          <w:ilvl w:val="0"/>
          <w:numId w:val="7"/>
        </w:numPr>
        <w:rPr>
          <w:rFonts w:ascii="Century Gothic" w:hAnsi="Century Gothic"/>
        </w:rPr>
      </w:pPr>
      <w:r>
        <w:rPr>
          <w:rFonts w:ascii="Century Gothic" w:hAnsi="Century Gothic"/>
        </w:rPr>
        <w:t>Ce droit n’était pas effectif : Les mesures de l’engagement 3 (slide 19)</w:t>
      </w:r>
      <w:r w:rsidR="004E4C02">
        <w:rPr>
          <w:rFonts w:ascii="Century Gothic" w:hAnsi="Century Gothic"/>
        </w:rPr>
        <w:t>, assouplissant le cadre de gestion des ESAT,</w:t>
      </w:r>
      <w:r>
        <w:rPr>
          <w:rFonts w:ascii="Century Gothic" w:hAnsi="Century Gothic"/>
        </w:rPr>
        <w:t xml:space="preserve"> permettront d’y remédier </w:t>
      </w:r>
    </w:p>
    <w:p w14:paraId="512CD808" w14:textId="7FDC6557" w:rsidR="007C49AF" w:rsidRPr="004E4C02" w:rsidRDefault="007C49AF" w:rsidP="001B5512">
      <w:pPr>
        <w:pStyle w:val="Paragraphedeliste"/>
        <w:numPr>
          <w:ilvl w:val="0"/>
          <w:numId w:val="7"/>
        </w:numPr>
        <w:rPr>
          <w:rFonts w:ascii="Century Gothic" w:hAnsi="Century Gothic"/>
        </w:rPr>
      </w:pPr>
      <w:r>
        <w:rPr>
          <w:rFonts w:ascii="Century Gothic" w:hAnsi="Century Gothic"/>
        </w:rPr>
        <w:t xml:space="preserve">Le parcours renforcé en emploi semble, sans apporter de nouveauté, apporter un cadre à toutes sorties d’ESAT : des conventions d’appui seraient systématiquement signées, un accompagnement par la plateforme d’emploi accompagné territorialement compétente prévu. </w:t>
      </w:r>
    </w:p>
    <w:p w14:paraId="23761E31" w14:textId="731D8B09" w:rsidR="001B5512" w:rsidRDefault="001B5512" w:rsidP="004E4C02">
      <w:pPr>
        <w:pStyle w:val="Titre1"/>
        <w:numPr>
          <w:ilvl w:val="0"/>
          <w:numId w:val="5"/>
        </w:numPr>
      </w:pPr>
      <w:r>
        <w:lastRenderedPageBreak/>
        <w:t xml:space="preserve">Question concernant la VAE </w:t>
      </w:r>
    </w:p>
    <w:p w14:paraId="58B6BDDD" w14:textId="759EAF82" w:rsidR="001B5512" w:rsidRDefault="001B5512" w:rsidP="001B5512"/>
    <w:p w14:paraId="63C00177" w14:textId="166CC3C4" w:rsidR="001B5512" w:rsidRPr="001B5512" w:rsidRDefault="001B5512" w:rsidP="001B5512">
      <w:pPr>
        <w:rPr>
          <w:rFonts w:ascii="Century Gothic" w:hAnsi="Century Gothic"/>
        </w:rPr>
      </w:pPr>
      <w:r>
        <w:rPr>
          <w:rFonts w:ascii="Century Gothic" w:hAnsi="Century Gothic"/>
        </w:rPr>
        <w:t xml:space="preserve">Nous rédigerons prochainement un guide pour vous aider à vous y repérer davantage. </w:t>
      </w:r>
    </w:p>
    <w:p w14:paraId="470A131E" w14:textId="523E5309" w:rsidR="00CF1563" w:rsidRDefault="00CF1563" w:rsidP="00CF1563"/>
    <w:p w14:paraId="4B87248E" w14:textId="77777777" w:rsidR="007C49AF" w:rsidRDefault="007C49AF" w:rsidP="007C49AF">
      <w:pPr>
        <w:rPr>
          <w:rFonts w:ascii="Century Gothic" w:hAnsi="Century Gothic"/>
        </w:rPr>
      </w:pPr>
      <w:bookmarkStart w:id="0" w:name="_GoBack"/>
      <w:bookmarkEnd w:id="0"/>
    </w:p>
    <w:p w14:paraId="5DF6CCF6" w14:textId="25A87B19" w:rsidR="007C49AF" w:rsidRPr="007C49AF" w:rsidRDefault="007C49AF" w:rsidP="007C49AF">
      <w:pPr>
        <w:rPr>
          <w:rFonts w:ascii="Century Gothic" w:hAnsi="Century Gothic"/>
        </w:rPr>
      </w:pPr>
      <w:r w:rsidRPr="007C49AF">
        <w:rPr>
          <w:rFonts w:ascii="Century Gothic" w:hAnsi="Century Gothic"/>
        </w:rPr>
        <w:t xml:space="preserve"> </w:t>
      </w:r>
    </w:p>
    <w:p w14:paraId="1329D57C" w14:textId="1BDFDAD4" w:rsidR="007C49AF" w:rsidRDefault="007C49AF" w:rsidP="007C49AF">
      <w:pPr>
        <w:rPr>
          <w:rFonts w:ascii="Century Gothic" w:hAnsi="Century Gothic"/>
        </w:rPr>
      </w:pPr>
    </w:p>
    <w:p w14:paraId="75DAC863" w14:textId="77777777" w:rsidR="007C49AF" w:rsidRPr="007C49AF" w:rsidRDefault="007C49AF" w:rsidP="007C49AF">
      <w:pPr>
        <w:rPr>
          <w:rFonts w:ascii="Century Gothic" w:hAnsi="Century Gothic"/>
        </w:rPr>
      </w:pPr>
    </w:p>
    <w:p w14:paraId="3C04540A" w14:textId="77777777" w:rsidR="00565C9C" w:rsidRDefault="00565C9C" w:rsidP="00CF1563"/>
    <w:p w14:paraId="37241B7C" w14:textId="77777777" w:rsidR="00CF1563" w:rsidRPr="00CF1563" w:rsidRDefault="00CF1563" w:rsidP="00CF1563"/>
    <w:p w14:paraId="60679102" w14:textId="07D196ED" w:rsidR="004877F0" w:rsidRPr="004877F0" w:rsidRDefault="004877F0" w:rsidP="004877F0">
      <w:pPr>
        <w:pStyle w:val="Titre1"/>
      </w:pPr>
    </w:p>
    <w:sectPr w:rsidR="004877F0" w:rsidRPr="00487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3515"/>
    <w:multiLevelType w:val="hybridMultilevel"/>
    <w:tmpl w:val="609CC7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B85638"/>
    <w:multiLevelType w:val="hybridMultilevel"/>
    <w:tmpl w:val="C97E92C0"/>
    <w:lvl w:ilvl="0" w:tplc="9F9493F6">
      <w:start w:val="5"/>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D07D43"/>
    <w:multiLevelType w:val="hybridMultilevel"/>
    <w:tmpl w:val="A0684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D276FA"/>
    <w:multiLevelType w:val="hybridMultilevel"/>
    <w:tmpl w:val="526C752C"/>
    <w:lvl w:ilvl="0" w:tplc="9F9493F6">
      <w:start w:val="5"/>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182520"/>
    <w:multiLevelType w:val="hybridMultilevel"/>
    <w:tmpl w:val="FD58B5B8"/>
    <w:lvl w:ilvl="0" w:tplc="9F9493F6">
      <w:start w:val="5"/>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16107F"/>
    <w:multiLevelType w:val="hybridMultilevel"/>
    <w:tmpl w:val="248C9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E777F9"/>
    <w:multiLevelType w:val="hybridMultilevel"/>
    <w:tmpl w:val="9DA68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F0"/>
    <w:rsid w:val="000D0880"/>
    <w:rsid w:val="001B5512"/>
    <w:rsid w:val="004877F0"/>
    <w:rsid w:val="004E4C02"/>
    <w:rsid w:val="00565C9C"/>
    <w:rsid w:val="007C49AF"/>
    <w:rsid w:val="008354F1"/>
    <w:rsid w:val="00AF1F4A"/>
    <w:rsid w:val="00AF7DC1"/>
    <w:rsid w:val="00B02F1A"/>
    <w:rsid w:val="00C16CB2"/>
    <w:rsid w:val="00CF1563"/>
    <w:rsid w:val="00D706B9"/>
    <w:rsid w:val="00F3019E"/>
    <w:rsid w:val="00F62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0554"/>
  <w15:chartTrackingRefBased/>
  <w15:docId w15:val="{38C1E96F-673C-4599-B3DC-33BD6789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7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AF1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unhideWhenUsed/>
    <w:qFormat/>
    <w:rsid w:val="00AF1F4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877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77F0"/>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4877F0"/>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4877F0"/>
    <w:pPr>
      <w:ind w:left="720"/>
      <w:contextualSpacing/>
    </w:pPr>
  </w:style>
  <w:style w:type="character" w:customStyle="1" w:styleId="Titre2Car">
    <w:name w:val="Titre 2 Car"/>
    <w:basedOn w:val="Policepardfaut"/>
    <w:link w:val="Titre2"/>
    <w:uiPriority w:val="9"/>
    <w:semiHidden/>
    <w:rsid w:val="00AF1F4A"/>
    <w:rPr>
      <w:rFonts w:asciiTheme="majorHAnsi" w:eastAsiaTheme="majorEastAsia" w:hAnsiTheme="majorHAnsi" w:cstheme="majorBidi"/>
      <w:color w:val="2F5496" w:themeColor="accent1" w:themeShade="BF"/>
      <w:sz w:val="26"/>
      <w:szCs w:val="26"/>
    </w:rPr>
  </w:style>
  <w:style w:type="character" w:customStyle="1" w:styleId="Titre6Car">
    <w:name w:val="Titre 6 Car"/>
    <w:basedOn w:val="Policepardfaut"/>
    <w:link w:val="Titre6"/>
    <w:uiPriority w:val="9"/>
    <w:rsid w:val="00AF1F4A"/>
    <w:rPr>
      <w:rFonts w:asciiTheme="majorHAnsi" w:eastAsiaTheme="majorEastAsia" w:hAnsiTheme="majorHAnsi" w:cstheme="majorBidi"/>
      <w:color w:val="1F3763" w:themeColor="accent1" w:themeShade="7F"/>
    </w:rPr>
  </w:style>
  <w:style w:type="paragraph" w:customStyle="1" w:styleId="Date1">
    <w:name w:val="Date1"/>
    <w:basedOn w:val="Normal"/>
    <w:rsid w:val="00AF1F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F1F4A"/>
    <w:rPr>
      <w:color w:val="0000FF"/>
      <w:u w:val="single"/>
    </w:rPr>
  </w:style>
  <w:style w:type="paragraph" w:styleId="NormalWeb">
    <w:name w:val="Normal (Web)"/>
    <w:basedOn w:val="Normal"/>
    <w:uiPriority w:val="99"/>
    <w:semiHidden/>
    <w:unhideWhenUsed/>
    <w:rsid w:val="00AF1F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AF7DC1"/>
    <w:rPr>
      <w:color w:val="605E5C"/>
      <w:shd w:val="clear" w:color="auto" w:fill="E1DFDD"/>
    </w:rPr>
  </w:style>
  <w:style w:type="character" w:styleId="Marquedecommentaire">
    <w:name w:val="annotation reference"/>
    <w:basedOn w:val="Policepardfaut"/>
    <w:uiPriority w:val="99"/>
    <w:semiHidden/>
    <w:unhideWhenUsed/>
    <w:rsid w:val="008354F1"/>
    <w:rPr>
      <w:sz w:val="16"/>
      <w:szCs w:val="16"/>
    </w:rPr>
  </w:style>
  <w:style w:type="paragraph" w:styleId="Commentaire">
    <w:name w:val="annotation text"/>
    <w:basedOn w:val="Normal"/>
    <w:link w:val="CommentaireCar"/>
    <w:uiPriority w:val="99"/>
    <w:semiHidden/>
    <w:unhideWhenUsed/>
    <w:rsid w:val="008354F1"/>
    <w:pPr>
      <w:spacing w:before="120" w:after="0" w:line="240" w:lineRule="auto"/>
      <w:jc w:val="both"/>
    </w:pPr>
    <w:rPr>
      <w:rFonts w:eastAsia="Times New Roman" w:cs="Times New Roman"/>
      <w:sz w:val="20"/>
      <w:szCs w:val="20"/>
      <w:lang w:eastAsia="fr-FR"/>
    </w:rPr>
  </w:style>
  <w:style w:type="character" w:customStyle="1" w:styleId="CommentaireCar">
    <w:name w:val="Commentaire Car"/>
    <w:basedOn w:val="Policepardfaut"/>
    <w:link w:val="Commentaire"/>
    <w:uiPriority w:val="99"/>
    <w:semiHidden/>
    <w:rsid w:val="008354F1"/>
    <w:rPr>
      <w:rFonts w:eastAsia="Times New Roman" w:cs="Times New Roman"/>
      <w:sz w:val="20"/>
      <w:szCs w:val="20"/>
      <w:lang w:eastAsia="fr-FR"/>
    </w:rPr>
  </w:style>
  <w:style w:type="paragraph" w:styleId="Textedebulles">
    <w:name w:val="Balloon Text"/>
    <w:basedOn w:val="Normal"/>
    <w:link w:val="TextedebullesCar"/>
    <w:uiPriority w:val="99"/>
    <w:semiHidden/>
    <w:unhideWhenUsed/>
    <w:rsid w:val="008354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02248">
      <w:bodyDiv w:val="1"/>
      <w:marLeft w:val="0"/>
      <w:marRight w:val="0"/>
      <w:marTop w:val="0"/>
      <w:marBottom w:val="0"/>
      <w:divBdr>
        <w:top w:val="none" w:sz="0" w:space="0" w:color="auto"/>
        <w:left w:val="none" w:sz="0" w:space="0" w:color="auto"/>
        <w:bottom w:val="none" w:sz="0" w:space="0" w:color="auto"/>
        <w:right w:val="none" w:sz="0" w:space="0" w:color="auto"/>
      </w:divBdr>
    </w:div>
    <w:div w:id="1366101388">
      <w:bodyDiv w:val="1"/>
      <w:marLeft w:val="0"/>
      <w:marRight w:val="0"/>
      <w:marTop w:val="0"/>
      <w:marBottom w:val="0"/>
      <w:divBdr>
        <w:top w:val="none" w:sz="0" w:space="0" w:color="auto"/>
        <w:left w:val="none" w:sz="0" w:space="0" w:color="auto"/>
        <w:bottom w:val="none" w:sz="0" w:space="0" w:color="auto"/>
        <w:right w:val="none" w:sz="0" w:space="0" w:color="auto"/>
      </w:divBdr>
      <w:divsChild>
        <w:div w:id="546993776">
          <w:marLeft w:val="0"/>
          <w:marRight w:val="0"/>
          <w:marTop w:val="0"/>
          <w:marBottom w:val="0"/>
          <w:divBdr>
            <w:top w:val="none" w:sz="0" w:space="0" w:color="auto"/>
            <w:left w:val="none" w:sz="0" w:space="0" w:color="auto"/>
            <w:bottom w:val="none" w:sz="0" w:space="0" w:color="auto"/>
            <w:right w:val="none" w:sz="0" w:space="0" w:color="auto"/>
          </w:divBdr>
        </w:div>
        <w:div w:id="1280138826">
          <w:marLeft w:val="0"/>
          <w:marRight w:val="0"/>
          <w:marTop w:val="0"/>
          <w:marBottom w:val="0"/>
          <w:divBdr>
            <w:top w:val="none" w:sz="0" w:space="0" w:color="auto"/>
            <w:left w:val="none" w:sz="0" w:space="0" w:color="auto"/>
            <w:bottom w:val="none" w:sz="0" w:space="0" w:color="auto"/>
            <w:right w:val="none" w:sz="0" w:space="0" w:color="auto"/>
          </w:divBdr>
        </w:div>
      </w:divsChild>
    </w:div>
    <w:div w:id="17067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cidTexte=LEGITEXT000006074069&amp;idArticle=LEGIARTI000006797049&amp;dateTexte=&amp;categorieLien=cid" TargetMode="External"/><Relationship Id="rId5" Type="http://schemas.openxmlformats.org/officeDocument/2006/relationships/styles" Target="styles.xml"/><Relationship Id="rId10" Type="http://schemas.openxmlformats.org/officeDocument/2006/relationships/hyperlink" Target="https://www.legifrance.gouv.fr/loda/id/LEGIARTI000045213030/2022-02-23/" TargetMode="External"/><Relationship Id="rId4" Type="http://schemas.openxmlformats.org/officeDocument/2006/relationships/numbering" Target="numbering.xml"/><Relationship Id="rId9" Type="http://schemas.openxmlformats.org/officeDocument/2006/relationships/hyperlink" Target="https://www.legifrance.gouv.fr/loda/id/LEGIARTI000045198705/2022-02-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F7C415ED3504EAE22D1EC153A6142" ma:contentTypeVersion="14" ma:contentTypeDescription="Crée un document." ma:contentTypeScope="" ma:versionID="ddc5ab4aecab92c6b67e6271ee4ff844">
  <xsd:schema xmlns:xsd="http://www.w3.org/2001/XMLSchema" xmlns:xs="http://www.w3.org/2001/XMLSchema" xmlns:p="http://schemas.microsoft.com/office/2006/metadata/properties" xmlns:ns3="474671e1-14ec-4421-a3c7-353415be6ffb" xmlns:ns4="f6a58125-ae4a-4861-b86a-587b7ac203da" targetNamespace="http://schemas.microsoft.com/office/2006/metadata/properties" ma:root="true" ma:fieldsID="d2d8f87bf8ae985f03a3dfc45fc2edbb" ns3:_="" ns4:_="">
    <xsd:import namespace="474671e1-14ec-4421-a3c7-353415be6ffb"/>
    <xsd:import namespace="f6a58125-ae4a-4861-b86a-587b7ac203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71e1-14ec-4421-a3c7-353415be6ff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8125-ae4a-4861-b86a-587b7ac203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14D81-50FE-44CB-BD5D-35F5928F06A5}">
  <ds:schemaRefs>
    <ds:schemaRef ds:uri="http://schemas.microsoft.com/sharepoint/v3/contenttype/forms"/>
  </ds:schemaRefs>
</ds:datastoreItem>
</file>

<file path=customXml/itemProps2.xml><?xml version="1.0" encoding="utf-8"?>
<ds:datastoreItem xmlns:ds="http://schemas.openxmlformats.org/officeDocument/2006/customXml" ds:itemID="{E78118FA-F664-48B5-B740-AFF0F521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71e1-14ec-4421-a3c7-353415be6ffb"/>
    <ds:schemaRef ds:uri="f6a58125-ae4a-4861-b86a-587b7ac2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3FCEC-1232-403D-A9D4-FC5B2BE85279}">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purl.org/dc/dcmitype/"/>
    <ds:schemaRef ds:uri="f6a58125-ae4a-4861-b86a-587b7ac203da"/>
    <ds:schemaRef ds:uri="474671e1-14ec-4421-a3c7-353415be6ffb"/>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7855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Martin</dc:creator>
  <cp:keywords/>
  <dc:description/>
  <cp:lastModifiedBy>Agathe Martin</cp:lastModifiedBy>
  <cp:revision>2</cp:revision>
  <dcterms:created xsi:type="dcterms:W3CDTF">2022-05-02T12:20:00Z</dcterms:created>
  <dcterms:modified xsi:type="dcterms:W3CDTF">2022-05-02T12:20:00Z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0x01010078EF7C415ED3504EAE22D1EC153A6142</vt:lpwstr>
  </property>
</Properties>
</file>